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16FF3">
      <w:pPr>
        <w:adjustRightInd w:val="0"/>
        <w:snapToGrid w:val="0"/>
        <w:spacing w:before="312" w:beforeLines="100" w:after="312" w:afterLines="100" w:line="560" w:lineRule="exact"/>
        <w:ind w:firstLine="602" w:firstLineChars="200"/>
        <w:jc w:val="center"/>
        <w:outlineLvl w:val="1"/>
        <w:rPr>
          <w:rFonts w:ascii="宋体" w:hAnsi="宋体" w:cs="宋体"/>
          <w:b/>
          <w:bCs/>
          <w:sz w:val="30"/>
          <w:szCs w:val="30"/>
          <w:highlight w:val="none"/>
        </w:rPr>
      </w:pPr>
      <w:bookmarkStart w:id="0" w:name="_Toc162103502"/>
      <w:bookmarkStart w:id="1" w:name="_Toc21106"/>
      <w:r>
        <w:rPr>
          <w:rFonts w:hint="eastAsia" w:asciiTheme="minorEastAsia" w:hAnsiTheme="minorEastAsia" w:cstheme="minorEastAsia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附件：</w:t>
      </w:r>
      <w:bookmarkEnd w:id="0"/>
      <w:bookmarkEnd w:id="1"/>
      <w:r>
        <w:rPr>
          <w:rFonts w:hint="eastAsia" w:asciiTheme="minorEastAsia" w:hAnsiTheme="minorEastAsia" w:cstheme="minorEastAsia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Theme="minorEastAsia" w:hAnsiTheme="minorEastAsia" w:cs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采购需求表</w:t>
      </w:r>
    </w:p>
    <w:tbl>
      <w:tblPr>
        <w:tblStyle w:val="5"/>
        <w:tblW w:w="8970" w:type="dxa"/>
        <w:tblInd w:w="-2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056"/>
        <w:gridCol w:w="5770"/>
        <w:gridCol w:w="810"/>
        <w:gridCol w:w="675"/>
      </w:tblGrid>
      <w:tr w14:paraId="01683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EF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6A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服务名称</w:t>
            </w:r>
          </w:p>
        </w:tc>
        <w:tc>
          <w:tcPr>
            <w:tcW w:w="5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27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93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2F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0828A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7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51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17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算力服务A包</w:t>
            </w:r>
          </w:p>
        </w:tc>
        <w:tc>
          <w:tcPr>
            <w:tcW w:w="5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9B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1、计算能力：每套服务配置双路处理器，支持32个内核，主频可达2.6GHz，支持8通道DDR4；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2、存储容量：每套服务可用</w:t>
            </w:r>
            <w:bookmarkStart w:id="2" w:name="_GoBack"/>
            <w:bookmarkEnd w:id="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的SDD存储容量不低于2880GB，内存容量不低于256GB；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3、网络带宽：服务可用的内部互联网络带宽为10G；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4、技术架构：每套算力服务底层使用ARM架构，NPU卡不少于4块；单卡需140Tops算力（INT8），可支持128路1080P 30FPS 或16路4K 60FPS视频实时分析；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5、响应时间：算力服务对请求的平均响应时间不超过50ms；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、安全性：算力服务需支持网络访问安全技术，确保访问控制的安全性；支持PCI-e外置插卡式可信密码控制卡；配置访问控制策略，可信软件支持静态度量、动态度量，TCM模块为独立硬件保护避免非法读取和破坏；配置专用TCM的处理器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D3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套/年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79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64619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6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A6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00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算力服务B包</w:t>
            </w:r>
          </w:p>
        </w:tc>
        <w:tc>
          <w:tcPr>
            <w:tcW w:w="5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DF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1、计算能力：每套服务配置双路处理器，支持32个内核，主频可达2.6GHz，支持8通道DDR4；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2、存储容量：每套服务可用的SDD存储容量不低于960GB，HDD存储容量不低于32T，内存容量不低于256GB；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3、网络带宽：服务可用的内部互联网络带宽为10G；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4、响应时间：算力服务对请求的平均响应时间不超过50ms；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、安全性：算力服务需支持网络访问安全技术，确保访问控制的安全性；支持PCI-e外置插卡式可信密码控制卡；配置访问控制策略，可信软件支持静态度量、动态度量，TCM模块为独立硬件保护避免非法读取和破坏；配置专用TCM的处理器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BE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套/年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E7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1860A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7E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19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算力服务C包</w:t>
            </w:r>
          </w:p>
        </w:tc>
        <w:tc>
          <w:tcPr>
            <w:tcW w:w="5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528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1、计算能力：每套服务配置双路处理器，支持32个内核，主频可达2.6GHz，支持8通道DDR4；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2、存储容量：每套服务可用的SDD存储容量不低于18T，内存容量不低于256GB；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3、网络带宽：服务可用的内部互联网络带宽为10G；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4、技术架构：每套算力服务底层使用ARM架构，NPU卡不少于4块；单卡需140Tops算力（INT8），可支持128路1080P 30FPS 或16路4K 60FPS视频实时分析；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5、响应时间：算力服务对请求的平均响应时间不超过50ms；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、安全性：算力服务需支持网络访问安全技术，确保访问控制的安全性；支持PCI-e外置插卡式可信密码控制卡；配置访问控制策略，可信软件支持静态度量、动态度量，TCM模块为独立硬件保护避免非法读取和破坏；配置专用TCM的处理器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1D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套/年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FD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087B4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8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4E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39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算力服务D包</w:t>
            </w:r>
          </w:p>
        </w:tc>
        <w:tc>
          <w:tcPr>
            <w:tcW w:w="5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4F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1、计算能力：每套服务配置双路处理器，支持32个内核，主频可达2.6GHz，支持8通道DDR4；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2、存储容量：每套服务可用的SDD存储容量不低于2880GB，内存容量不低于256GB；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3、网络带宽：服务可用的内部互联网络带宽为10G；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4、技术架构：每套算力服务底层使用ARM架构，NPU卡不少于5块；单卡需140Tops算力（INT8），可支持128路1080P 30FPS 或16路4K 60FPS视频实时分析；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5、响应时间：算力服务对请求的平均响应时间不超过50ms；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、安全性：算力服务需支持网络访问安全技术，确保访问控制的安全性；支持PCI-e外置插卡式可信密码控制卡；配置访问控制策略，可信软件支持静态度量、动态度量，TCM模块为独立硬件保护避免非法读取和破坏；配置专用TCM的处理器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D0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套/年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9B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3D765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7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37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23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算力服务E包</w:t>
            </w:r>
          </w:p>
        </w:tc>
        <w:tc>
          <w:tcPr>
            <w:tcW w:w="5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F7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1、计算能力：每套服务配置双路处理器，支持32个内核，主频可达2.6GHz，支持8通道DDR4；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2、存储容量：每套服务可用的SDD存储容量不低于960GB，HDD存储容量不低于64T，内存容量不低于256GB；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3、网络带宽：服务可用的内部互联网络带宽为10G；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4、响应时间：算力服务对请求的平均响应时间不超过50ms；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、安全性：算力服务需支持网络访问安全技术，确保访问控制的安全性；支持PCI-e外置插卡式可信密码控制卡；配置访问控制策略，可信软件支持静态度量、动态度量，TCM模块为独立硬件保护避免非法读取和破坏；配置专用TCM的处理器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AE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套/年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E0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34921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2E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BB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网络和计算节点管理服务</w:t>
            </w:r>
          </w:p>
        </w:tc>
        <w:tc>
          <w:tcPr>
            <w:tcW w:w="5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B573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互联网专线（下行1000M 上行100M）；</w:t>
            </w:r>
          </w:p>
          <w:p w14:paraId="48C7D09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云主机配置不低于16核/32G内存，带宽6Gbit/s。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F9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套/年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E8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</w:tbl>
    <w:p w14:paraId="0B9B4052">
      <w:pPr>
        <w:widowControl/>
        <w:jc w:val="both"/>
        <w:rPr>
          <w:rFonts w:hint="eastAsia" w:ascii="宋体" w:hAnsi="宋体" w:eastAsia="宋体" w:cs="宋体"/>
          <w:kern w:val="0"/>
          <w:sz w:val="22"/>
          <w:szCs w:val="2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9B557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455B31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30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455B31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30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016D41"/>
    <w:multiLevelType w:val="singleLevel"/>
    <w:tmpl w:val="4F016D4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yOGY0ODlmYmZkOTJhMTFjNTE4YWVkNWEwNDI3ZjkifQ=="/>
  </w:docVars>
  <w:rsids>
    <w:rsidRoot w:val="00000000"/>
    <w:rsid w:val="002E3B01"/>
    <w:rsid w:val="039F42BD"/>
    <w:rsid w:val="0A3B6E19"/>
    <w:rsid w:val="0F2069CD"/>
    <w:rsid w:val="10A12EBE"/>
    <w:rsid w:val="18FE2C43"/>
    <w:rsid w:val="1F135571"/>
    <w:rsid w:val="228977BE"/>
    <w:rsid w:val="238A1DD0"/>
    <w:rsid w:val="26E433EA"/>
    <w:rsid w:val="2E43287F"/>
    <w:rsid w:val="3AE55EE0"/>
    <w:rsid w:val="3C835919"/>
    <w:rsid w:val="3E253412"/>
    <w:rsid w:val="50664F1E"/>
    <w:rsid w:val="51DB2067"/>
    <w:rsid w:val="53001DAB"/>
    <w:rsid w:val="5B2151FA"/>
    <w:rsid w:val="649616D8"/>
    <w:rsid w:val="66A17150"/>
    <w:rsid w:val="66CD740B"/>
    <w:rsid w:val="751E3502"/>
    <w:rsid w:val="7900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9"/>
    </w:pPr>
    <w:rPr>
      <w:rFonts w:ascii="宋体" w:hAnsi="宋体" w:eastAsia="宋体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897</Words>
  <Characters>1195</Characters>
  <Lines>0</Lines>
  <Paragraphs>0</Paragraphs>
  <TotalTime>1</TotalTime>
  <ScaleCrop>false</ScaleCrop>
  <LinksUpToDate>false</LinksUpToDate>
  <CharactersWithSpaces>1196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2024-03-25T06:45:00Z</dcterms:created>
  <dc:creator>xinghuo</dc:creator>
  <cp:lastModifiedBy>XHCGB</cp:lastModifiedBy>
  <dcterms:modified xsi:type="dcterms:W3CDTF">2024-11-24T02:18:11Z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2E0F9CF4471D46B8A7D76F7C33002ABA_12</vt:lpwstr>
  </property>
</Properties>
</file>